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DB5" w:rsidRDefault="00731DB5" w:rsidP="003D0AEE">
      <w:pPr>
        <w:rPr>
          <w:b/>
        </w:rPr>
      </w:pPr>
      <w:r>
        <w:rPr>
          <w:b/>
        </w:rPr>
        <w:t>Note on the aggregation procedure for SDG indicator 2.5.5</w:t>
      </w:r>
    </w:p>
    <w:p w:rsidR="00731DB5" w:rsidRPr="00731DB5" w:rsidRDefault="00D01712" w:rsidP="003D0AEE">
      <w:pPr>
        <w:rPr>
          <w:i/>
        </w:rPr>
      </w:pPr>
      <w:r>
        <w:rPr>
          <w:i/>
        </w:rPr>
        <w:t>FAO Office of the Chief Statistician</w:t>
      </w:r>
      <w:r w:rsidR="00731DB5" w:rsidRPr="00731DB5">
        <w:rPr>
          <w:i/>
        </w:rPr>
        <w:t>, 7 Jan 2019</w:t>
      </w:r>
    </w:p>
    <w:p w:rsidR="00731DB5" w:rsidRDefault="00731DB5" w:rsidP="003D0AEE">
      <w:pPr>
        <w:rPr>
          <w:b/>
        </w:rPr>
      </w:pPr>
    </w:p>
    <w:p w:rsidR="00731DB5" w:rsidRDefault="00731DB5" w:rsidP="003D0AEE">
      <w:pPr>
        <w:rPr>
          <w:b/>
        </w:rPr>
      </w:pPr>
    </w:p>
    <w:p w:rsidR="003D0AEE" w:rsidRPr="003D0AEE" w:rsidRDefault="003D0AEE" w:rsidP="003D0AEE">
      <w:pPr>
        <w:rPr>
          <w:b/>
        </w:rPr>
      </w:pPr>
      <w:r w:rsidRPr="003D0AEE">
        <w:rPr>
          <w:b/>
        </w:rPr>
        <w:t>1. Compilation of SDG indicator 2.5.2</w:t>
      </w:r>
    </w:p>
    <w:p w:rsidR="003D0AEE" w:rsidRDefault="003D0AEE" w:rsidP="003D0AEE">
      <w:pPr>
        <w:spacing w:line="256" w:lineRule="auto"/>
      </w:pPr>
      <w:r>
        <w:t xml:space="preserve">Currently breeds are classified as being “at risk”, “not at risk” or with “unknown risk”. Unknown includes missing data or data older than 10 years.  The frequency of “unknown” is however being included in the denominator of the fraction when computing the indicator. </w:t>
      </w:r>
    </w:p>
    <w:p w:rsidR="003D0AEE" w:rsidRDefault="003D0AEE" w:rsidP="003D0AEE">
      <w:pPr>
        <w:spacing w:line="256" w:lineRule="auto"/>
      </w:pPr>
      <w:r>
        <w:t>In general, this practice results in an underestimation of the breeds “at risk”, as shown by the following example:</w:t>
      </w:r>
    </w:p>
    <w:p w:rsidR="003D0AEE" w:rsidRDefault="003D0AEE" w:rsidP="003D0AEE">
      <w:pPr>
        <w:ind w:left="360"/>
      </w:pPr>
    </w:p>
    <w:tbl>
      <w:tblPr>
        <w:tblStyle w:val="TableGrid"/>
        <w:tblW w:w="3475" w:type="dxa"/>
        <w:jc w:val="center"/>
        <w:tblLook w:val="04A0" w:firstRow="1" w:lastRow="0" w:firstColumn="1" w:lastColumn="0" w:noHBand="0" w:noVBand="1"/>
      </w:tblPr>
      <w:tblGrid>
        <w:gridCol w:w="1255"/>
        <w:gridCol w:w="2220"/>
      </w:tblGrid>
      <w:tr w:rsidR="003D0AEE" w:rsidTr="00731DB5">
        <w:trPr>
          <w:jc w:val="center"/>
        </w:trPr>
        <w:tc>
          <w:tcPr>
            <w:tcW w:w="1255" w:type="dxa"/>
          </w:tcPr>
          <w:p w:rsidR="003D0AEE" w:rsidRPr="00B21AD4" w:rsidRDefault="003D0AEE" w:rsidP="00091C6A">
            <w:pPr>
              <w:rPr>
                <w:b/>
              </w:rPr>
            </w:pPr>
            <w:r w:rsidRPr="00B21AD4">
              <w:rPr>
                <w:b/>
              </w:rPr>
              <w:t>Status</w:t>
            </w:r>
          </w:p>
        </w:tc>
        <w:tc>
          <w:tcPr>
            <w:tcW w:w="2220" w:type="dxa"/>
          </w:tcPr>
          <w:p w:rsidR="003D0AEE" w:rsidRPr="00B21AD4" w:rsidRDefault="003D0AEE" w:rsidP="00091C6A">
            <w:pPr>
              <w:jc w:val="center"/>
              <w:rPr>
                <w:b/>
              </w:rPr>
            </w:pPr>
            <w:r w:rsidRPr="00B21AD4">
              <w:rPr>
                <w:b/>
              </w:rPr>
              <w:t>Frequency</w:t>
            </w:r>
          </w:p>
        </w:tc>
      </w:tr>
      <w:tr w:rsidR="003D0AEE" w:rsidTr="00731DB5">
        <w:trPr>
          <w:jc w:val="center"/>
        </w:trPr>
        <w:tc>
          <w:tcPr>
            <w:tcW w:w="1255" w:type="dxa"/>
          </w:tcPr>
          <w:p w:rsidR="003D0AEE" w:rsidRDefault="003D0AEE" w:rsidP="00091C6A">
            <w:r>
              <w:t>At risk</w:t>
            </w:r>
          </w:p>
        </w:tc>
        <w:tc>
          <w:tcPr>
            <w:tcW w:w="2220" w:type="dxa"/>
          </w:tcPr>
          <w:p w:rsidR="003D0AEE" w:rsidRDefault="00C51892" w:rsidP="00091C6A">
            <m:oMathPara>
              <m:oMath>
                <m:sSub>
                  <m:sSubPr>
                    <m:ctrlPr>
                      <w:rPr>
                        <w:rFonts w:ascii="Cambria Math" w:hAnsi="Cambria Math"/>
                        <w:i/>
                      </w:rPr>
                    </m:ctrlPr>
                  </m:sSubPr>
                  <m:e>
                    <m:r>
                      <w:rPr>
                        <w:rFonts w:ascii="Cambria Math" w:hAnsi="Cambria Math"/>
                      </w:rPr>
                      <m:t>n</m:t>
                    </m:r>
                  </m:e>
                  <m:sub>
                    <m:r>
                      <w:rPr>
                        <w:rFonts w:ascii="Cambria Math" w:hAnsi="Cambria Math"/>
                      </w:rPr>
                      <m:t>R</m:t>
                    </m:r>
                  </m:sub>
                </m:sSub>
              </m:oMath>
            </m:oMathPara>
          </w:p>
        </w:tc>
      </w:tr>
      <w:tr w:rsidR="003D0AEE" w:rsidTr="00731DB5">
        <w:trPr>
          <w:jc w:val="center"/>
        </w:trPr>
        <w:tc>
          <w:tcPr>
            <w:tcW w:w="1255" w:type="dxa"/>
          </w:tcPr>
          <w:p w:rsidR="003D0AEE" w:rsidRDefault="003D0AEE" w:rsidP="00091C6A">
            <w:r>
              <w:t>Not at risk</w:t>
            </w:r>
          </w:p>
        </w:tc>
        <w:tc>
          <w:tcPr>
            <w:tcW w:w="2220" w:type="dxa"/>
          </w:tcPr>
          <w:p w:rsidR="003D0AEE" w:rsidRDefault="00C51892" w:rsidP="00091C6A">
            <m:oMathPara>
              <m:oMath>
                <m:sSub>
                  <m:sSubPr>
                    <m:ctrlPr>
                      <w:rPr>
                        <w:rFonts w:ascii="Cambria Math" w:hAnsi="Cambria Math"/>
                        <w:i/>
                      </w:rPr>
                    </m:ctrlPr>
                  </m:sSubPr>
                  <m:e>
                    <m:r>
                      <w:rPr>
                        <w:rFonts w:ascii="Cambria Math" w:hAnsi="Cambria Math"/>
                      </w:rPr>
                      <m:t>n</m:t>
                    </m:r>
                  </m:e>
                  <m:sub>
                    <m:r>
                      <w:rPr>
                        <w:rFonts w:ascii="Cambria Math" w:hAnsi="Cambria Math"/>
                      </w:rPr>
                      <m:t>NR</m:t>
                    </m:r>
                  </m:sub>
                </m:sSub>
              </m:oMath>
            </m:oMathPara>
          </w:p>
        </w:tc>
      </w:tr>
      <w:tr w:rsidR="003D0AEE" w:rsidTr="00731DB5">
        <w:trPr>
          <w:jc w:val="center"/>
        </w:trPr>
        <w:tc>
          <w:tcPr>
            <w:tcW w:w="1255" w:type="dxa"/>
          </w:tcPr>
          <w:p w:rsidR="003D0AEE" w:rsidRDefault="003D0AEE" w:rsidP="00091C6A">
            <w:r>
              <w:t>Unknown</w:t>
            </w:r>
          </w:p>
        </w:tc>
        <w:tc>
          <w:tcPr>
            <w:tcW w:w="2220" w:type="dxa"/>
          </w:tcPr>
          <w:p w:rsidR="003D0AEE" w:rsidRDefault="00C51892" w:rsidP="00091C6A">
            <m:oMathPara>
              <m:oMath>
                <m:sSub>
                  <m:sSubPr>
                    <m:ctrlPr>
                      <w:rPr>
                        <w:rFonts w:ascii="Cambria Math" w:hAnsi="Cambria Math"/>
                        <w:i/>
                      </w:rPr>
                    </m:ctrlPr>
                  </m:sSubPr>
                  <m:e>
                    <m:r>
                      <w:rPr>
                        <w:rFonts w:ascii="Cambria Math" w:hAnsi="Cambria Math"/>
                      </w:rPr>
                      <m:t>n</m:t>
                    </m:r>
                  </m:e>
                  <m:sub>
                    <m:r>
                      <w:rPr>
                        <w:rFonts w:ascii="Cambria Math" w:hAnsi="Cambria Math"/>
                      </w:rPr>
                      <m:t>U</m:t>
                    </m:r>
                  </m:sub>
                </m:sSub>
              </m:oMath>
            </m:oMathPara>
          </w:p>
        </w:tc>
      </w:tr>
      <w:tr w:rsidR="003D0AEE" w:rsidTr="00731DB5">
        <w:trPr>
          <w:jc w:val="center"/>
        </w:trPr>
        <w:tc>
          <w:tcPr>
            <w:tcW w:w="1255" w:type="dxa"/>
          </w:tcPr>
          <w:p w:rsidR="003D0AEE" w:rsidRDefault="003D0AEE" w:rsidP="00091C6A">
            <w:r>
              <w:t>Total</w:t>
            </w:r>
          </w:p>
        </w:tc>
        <w:tc>
          <w:tcPr>
            <w:tcW w:w="2220" w:type="dxa"/>
          </w:tcPr>
          <w:p w:rsidR="003D0AEE" w:rsidRPr="002F27B5" w:rsidRDefault="003D0AEE" w:rsidP="00091C6A">
            <w:pPr>
              <w:rPr>
                <w:b/>
                <w:i/>
              </w:rPr>
            </w:pPr>
            <m:oMathPara>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m:t>
                    </m:r>
                  </m:sub>
                </m:sSub>
              </m:oMath>
            </m:oMathPara>
          </w:p>
        </w:tc>
      </w:tr>
    </w:tbl>
    <w:p w:rsidR="003D0AEE" w:rsidRDefault="003D0AEE" w:rsidP="003D0AEE">
      <w:pPr>
        <w:ind w:left="360"/>
      </w:pPr>
    </w:p>
    <w:p w:rsidR="003D0AEE" w:rsidRDefault="003D0AEE" w:rsidP="003D0AEE">
      <w:r>
        <w:t>The categories of interest are two “At risk” and “Not at risk”,</w:t>
      </w:r>
    </w:p>
    <w:p w:rsidR="003D0AEE" w:rsidRDefault="003D0AEE" w:rsidP="003D0AEE">
      <w:pPr>
        <w:pStyle w:val="ListParagraph"/>
        <w:numPr>
          <w:ilvl w:val="0"/>
          <w:numId w:val="2"/>
        </w:numPr>
        <w:spacing w:line="256" w:lineRule="auto"/>
      </w:pPr>
      <w:r>
        <w:t>In the best scenario the breeds with “U” status are all “Not at risk” and therefore:</w:t>
      </w:r>
    </w:p>
    <w:p w:rsidR="003D0AEE" w:rsidRPr="002F27B5" w:rsidRDefault="00C51892" w:rsidP="003D0AEE">
      <w:pPr>
        <w:pStyle w:val="ListParagraph"/>
        <w:rPr>
          <w:rFonts w:eastAsiaTheme="minorEastAsia"/>
        </w:rPr>
      </w:pPr>
      <m:oMathPara>
        <m:oMath>
          <m:sSub>
            <m:sSubPr>
              <m:ctrlPr>
                <w:rPr>
                  <w:rFonts w:ascii="Cambria Math" w:hAnsi="Cambria Math"/>
                  <w:i/>
                </w:rPr>
              </m:ctrlPr>
            </m:sSubPr>
            <m:e>
              <m:r>
                <w:rPr>
                  <w:rFonts w:ascii="Cambria Math" w:hAnsi="Cambria Math"/>
                </w:rPr>
                <m:t>a</m:t>
              </m:r>
            </m:e>
            <m:sub>
              <m:r>
                <w:rPr>
                  <w:rFonts w:ascii="Cambria Math" w:hAnsi="Cambria Math"/>
                </w:rPr>
                <m:t>R</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m:t>
                  </m:r>
                </m:sub>
              </m:sSub>
            </m:num>
            <m:den>
              <m:r>
                <w:rPr>
                  <w:rFonts w:ascii="Cambria Math" w:hAnsi="Cambria Math"/>
                </w:rPr>
                <m:t>n</m:t>
              </m:r>
            </m:den>
          </m:f>
        </m:oMath>
      </m:oMathPara>
    </w:p>
    <w:p w:rsidR="003D0AEE" w:rsidRDefault="003D0AEE" w:rsidP="003D0AEE">
      <w:pPr>
        <w:pStyle w:val="ListParagraph"/>
        <w:numPr>
          <w:ilvl w:val="0"/>
          <w:numId w:val="2"/>
        </w:numPr>
        <w:spacing w:line="256" w:lineRule="auto"/>
      </w:pPr>
      <w:r>
        <w:t>In the worst scenario breeds with “U” status are all “at risk” and consequently:</w:t>
      </w:r>
    </w:p>
    <w:p w:rsidR="003D0AEE" w:rsidRPr="00273491" w:rsidRDefault="00C51892" w:rsidP="003D0AEE">
      <w:pPr>
        <w:pStyle w:val="ListParagraph"/>
        <w:rPr>
          <w:rFonts w:eastAsiaTheme="minorEastAsia"/>
        </w:rPr>
      </w:pPr>
      <m:oMathPara>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m:t>
                  </m:r>
                </m:sub>
              </m:sSub>
            </m:num>
            <m:den>
              <m:r>
                <w:rPr>
                  <w:rFonts w:ascii="Cambria Math" w:hAnsi="Cambria Math"/>
                </w:rPr>
                <m:t>n</m:t>
              </m:r>
            </m:den>
          </m:f>
        </m:oMath>
      </m:oMathPara>
    </w:p>
    <w:p w:rsidR="003D0AEE" w:rsidRDefault="003D0AEE" w:rsidP="003D0AEE">
      <w:pPr>
        <w:rPr>
          <w:rFonts w:eastAsiaTheme="minorEastAsia"/>
        </w:rPr>
      </w:pPr>
      <w:r>
        <w:rPr>
          <w:rFonts w:eastAsiaTheme="minorEastAsia"/>
        </w:rPr>
        <w:t xml:space="preserve">In practice, the only valid statement that </w:t>
      </w:r>
      <w:proofErr w:type="gramStart"/>
      <w:r>
        <w:rPr>
          <w:rFonts w:eastAsiaTheme="minorEastAsia"/>
        </w:rPr>
        <w:t>can be made</w:t>
      </w:r>
      <w:proofErr w:type="gramEnd"/>
      <w:r>
        <w:rPr>
          <w:rFonts w:eastAsiaTheme="minorEastAsia"/>
        </w:rPr>
        <w:t xml:space="preserve"> is that the true percentage of breeds at risk (</w:t>
      </w:r>
      <m:oMath>
        <m:sSub>
          <m:sSubPr>
            <m:ctrlPr>
              <w:rPr>
                <w:rFonts w:ascii="Cambria Math" w:hAnsi="Cambria Math"/>
                <w:i/>
              </w:rPr>
            </m:ctrlPr>
          </m:sSubPr>
          <m:e>
            <m:r>
              <w:rPr>
                <w:rFonts w:ascii="Cambria Math" w:hAnsi="Cambria Math"/>
              </w:rPr>
              <m:t>p</m:t>
            </m:r>
          </m:e>
          <m:sub>
            <m:r>
              <w:rPr>
                <w:rFonts w:ascii="Cambria Math" w:hAnsi="Cambria Math"/>
              </w:rPr>
              <m:t>R</m:t>
            </m:r>
          </m:sub>
        </m:sSub>
      </m:oMath>
      <w:r>
        <w:rPr>
          <w:rFonts w:eastAsiaTheme="minorEastAsia"/>
        </w:rPr>
        <w:t>) is included in the interval:</w:t>
      </w:r>
    </w:p>
    <w:p w:rsidR="003D0AEE" w:rsidRPr="009470C1" w:rsidRDefault="00C51892" w:rsidP="003D0AEE">
      <w:pPr>
        <w:ind w:left="360"/>
        <w:rPr>
          <w:rFonts w:eastAsiaTheme="minorEastAsia"/>
        </w:rPr>
      </w:pPr>
      <m:oMathPara>
        <m:oMath>
          <m:sSub>
            <m:sSubPr>
              <m:ctrlPr>
                <w:rPr>
                  <w:rFonts w:ascii="Cambria Math" w:hAnsi="Cambria Math"/>
                  <w:i/>
                </w:rPr>
              </m:ctrlPr>
            </m:sSubPr>
            <m:e>
              <m:r>
                <w:rPr>
                  <w:rFonts w:ascii="Cambria Math" w:hAnsi="Cambria Math"/>
                </w:rPr>
                <m:t>a</m:t>
              </m:r>
            </m:e>
            <m:sub>
              <m:r>
                <w:rPr>
                  <w:rFonts w:ascii="Cambria Math" w:hAnsi="Cambria Math"/>
                </w:rPr>
                <m:t>R</m:t>
              </m:r>
            </m:sub>
          </m:sSub>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R</m:t>
              </m:r>
            </m:sub>
          </m:sSub>
        </m:oMath>
      </m:oMathPara>
    </w:p>
    <w:p w:rsidR="003D0AEE" w:rsidRDefault="003D0AEE" w:rsidP="003D0AEE">
      <w:pPr>
        <w:rPr>
          <w:rFonts w:eastAsiaTheme="minorEastAsia"/>
        </w:rPr>
      </w:pPr>
      <w:r>
        <w:rPr>
          <w:rFonts w:eastAsiaTheme="minorEastAsia"/>
        </w:rPr>
        <w:t xml:space="preserve">In order to obtain an estimate </w:t>
      </w:r>
      <w:proofErr w:type="gramStart"/>
      <w:r>
        <w:rPr>
          <w:rFonts w:eastAsiaTheme="minorEastAsia"/>
        </w:rPr>
        <w:t xml:space="preserve">for </w:t>
      </w:r>
      <w:proofErr w:type="gramEnd"/>
      <m:oMath>
        <m:sSub>
          <m:sSubPr>
            <m:ctrlPr>
              <w:rPr>
                <w:rFonts w:ascii="Cambria Math" w:hAnsi="Cambria Math"/>
                <w:i/>
              </w:rPr>
            </m:ctrlPr>
          </m:sSubPr>
          <m:e>
            <m:r>
              <w:rPr>
                <w:rFonts w:ascii="Cambria Math" w:hAnsi="Cambria Math"/>
              </w:rPr>
              <m:t>p</m:t>
            </m:r>
          </m:e>
          <m:sub>
            <m:r>
              <w:rPr>
                <w:rFonts w:ascii="Cambria Math" w:hAnsi="Cambria Math"/>
              </w:rPr>
              <m:t>R</m:t>
            </m:r>
          </m:sub>
        </m:sSub>
      </m:oMath>
      <w:r>
        <w:rPr>
          <w:rFonts w:eastAsiaTheme="minorEastAsia"/>
        </w:rPr>
        <w:t>, the simplest assumption is that the observed distribution for breeds with known status applies also to the ones with unknown status. Practically</w:t>
      </w:r>
      <w:r w:rsidR="007C2780">
        <w:rPr>
          <w:rFonts w:eastAsiaTheme="minorEastAsia"/>
        </w:rPr>
        <w:t>,</w:t>
      </w:r>
      <w:r>
        <w:rPr>
          <w:rFonts w:eastAsiaTheme="minorEastAsia"/>
        </w:rPr>
        <w:t xml:space="preserve"> this consists in estimating the fractions of “at risk” only on the subset with known status, i.e.:</w:t>
      </w:r>
    </w:p>
    <w:p w:rsidR="003D0AEE" w:rsidRPr="002F27B5" w:rsidRDefault="00C51892" w:rsidP="003D0AEE">
      <w:pPr>
        <w:pStyle w:val="ListParagraph"/>
        <w:rPr>
          <w:rFonts w:eastAsiaTheme="minorEastAsia"/>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m:t>
                  </m:r>
                </m:sub>
              </m:sSub>
            </m:num>
            <m:den>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NR</m:t>
                  </m:r>
                </m:sub>
              </m:sSub>
            </m:den>
          </m:f>
        </m:oMath>
      </m:oMathPara>
    </w:p>
    <w:p w:rsidR="003D0AEE" w:rsidRDefault="003D0AEE" w:rsidP="003D0AEE">
      <w:pPr>
        <w:rPr>
          <w:rFonts w:eastAsiaTheme="minorEastAsia"/>
        </w:rPr>
      </w:pPr>
      <w:proofErr w:type="gramStart"/>
      <w:r>
        <w:rPr>
          <w:rFonts w:eastAsiaTheme="minorEastAsia"/>
        </w:rPr>
        <w:t>and</w:t>
      </w:r>
      <w:proofErr w:type="gramEnd"/>
      <w:r>
        <w:rPr>
          <w:rFonts w:eastAsiaTheme="minorEastAsia"/>
        </w:rPr>
        <w:t xml:space="preserve">, as a consequence: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NR</m:t>
            </m:r>
          </m:sub>
        </m:sSub>
        <m:r>
          <w:rPr>
            <w:rFonts w:ascii="Cambria Math" w:hAnsi="Cambria Math"/>
          </w:rPr>
          <m:t>=1-</m:t>
        </m:r>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oMath>
      <w:r>
        <w:rPr>
          <w:rFonts w:eastAsiaTheme="minorEastAsia"/>
        </w:rPr>
        <w:t>.</w:t>
      </w:r>
    </w:p>
    <w:p w:rsidR="003D0AEE" w:rsidRDefault="007C2780" w:rsidP="003D0AEE">
      <w:r>
        <w:t>T</w:t>
      </w:r>
      <w:r w:rsidR="003D0AEE">
        <w:t xml:space="preserve">he proportion of breeds of unknown risk status </w:t>
      </w:r>
      <w:r w:rsidR="003D0AEE" w:rsidRPr="004F0B29">
        <w:rPr>
          <w:rFonts w:eastAsiaTheme="minorEastAsia"/>
        </w:rPr>
        <w:t xml:space="preserve">“unknown” status, i.e.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U</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U</m:t>
                </m:r>
              </m:sub>
            </m:sSub>
          </m:num>
          <m:den>
            <m:r>
              <w:rPr>
                <w:rFonts w:ascii="Cambria Math" w:hAnsi="Cambria Math"/>
              </w:rPr>
              <m:t>n</m:t>
            </m:r>
          </m:den>
        </m:f>
        <m:r>
          <w:rPr>
            <w:rFonts w:ascii="Cambria Math" w:hAnsi="Cambria Math"/>
          </w:rPr>
          <m:t xml:space="preserve"> </m:t>
        </m:r>
      </m:oMath>
      <w:r w:rsidR="003D0AEE">
        <w:t xml:space="preserve">remains an important indicator that </w:t>
      </w:r>
      <w:r w:rsidR="003D0AEE" w:rsidRPr="004F0B29">
        <w:rPr>
          <w:rFonts w:eastAsiaTheme="minorEastAsia"/>
        </w:rPr>
        <w:t xml:space="preserve">should be computed and </w:t>
      </w:r>
      <w:r w:rsidR="003D0AEE">
        <w:rPr>
          <w:rFonts w:eastAsiaTheme="minorEastAsia"/>
        </w:rPr>
        <w:t>publish</w:t>
      </w:r>
      <w:r w:rsidR="003D0AEE" w:rsidRPr="004F0B29">
        <w:rPr>
          <w:rFonts w:eastAsiaTheme="minorEastAsia"/>
        </w:rPr>
        <w:t xml:space="preserve">ed as a quality indicator of the of estimated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oMath>
      <w:r w:rsidR="003D0AEE" w:rsidRPr="004F0B29">
        <w:rPr>
          <w:rFonts w:eastAsiaTheme="minorEastAsia"/>
        </w:rPr>
        <w:t xml:space="preserve"> </w:t>
      </w:r>
      <w:proofErr w:type="gramStart"/>
      <w:r w:rsidR="003D0AEE" w:rsidRPr="004F0B29">
        <w:rPr>
          <w:rFonts w:eastAsiaTheme="minorEastAsia"/>
        </w:rPr>
        <w:t xml:space="preserve">and </w:t>
      </w:r>
      <w:proofErr w:type="gramEnd"/>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NR</m:t>
            </m:r>
          </m:sub>
        </m:sSub>
      </m:oMath>
      <w:r w:rsidR="003D0AEE" w:rsidRPr="004F0B29">
        <w:rPr>
          <w:rFonts w:eastAsiaTheme="minorEastAsia"/>
        </w:rPr>
        <w:t xml:space="preserve">; the higher is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U</m:t>
            </m:r>
          </m:sub>
        </m:sSub>
      </m:oMath>
      <w:r w:rsidR="003D0AEE" w:rsidRPr="004F0B29">
        <w:rPr>
          <w:rFonts w:eastAsiaTheme="minorEastAsia"/>
        </w:rPr>
        <w:t xml:space="preserve"> the lower is accuracy of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oMath>
      <w:r w:rsidR="003D0AEE" w:rsidRPr="004F0B29">
        <w:rPr>
          <w:rFonts w:eastAsiaTheme="minorEastAsia"/>
        </w:rP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NR</m:t>
            </m:r>
          </m:sub>
        </m:sSub>
      </m:oMath>
      <w:r w:rsidR="003D0AEE" w:rsidRPr="004F0B29">
        <w:rPr>
          <w:rFonts w:eastAsiaTheme="minorEastAsia"/>
        </w:rPr>
        <w:t>.</w:t>
      </w:r>
    </w:p>
    <w:p w:rsidR="00731DB5" w:rsidRDefault="00731DB5" w:rsidP="003D0AEE"/>
    <w:p w:rsidR="003D0AEE" w:rsidRPr="003D0AEE" w:rsidRDefault="003D0AEE" w:rsidP="003D0AEE">
      <w:pPr>
        <w:rPr>
          <w:b/>
        </w:rPr>
      </w:pPr>
      <w:r w:rsidRPr="003D0AEE">
        <w:rPr>
          <w:b/>
        </w:rPr>
        <w:t>2. Calculation of regional or global aggregates for SDG indicator 2.5.2</w:t>
      </w:r>
    </w:p>
    <w:p w:rsidR="003D0AEE" w:rsidRDefault="003D0AEE" w:rsidP="003D0AEE">
      <w:r>
        <w:t xml:space="preserve">According to the established global SDG reporting guidelines, the aggregation of SDG indicators to regional or global levels can only be compiled if a minimum of 50% of countries (in a region for regional reporting or out of all countries worldwide for global reporting) provide up to date information allowing the calculation of the risk status. This will immediately downgrade indicator 2.5.2 from category Tier I to Tier II.  </w:t>
      </w:r>
    </w:p>
    <w:p w:rsidR="003D0AEE" w:rsidRDefault="003D0AEE" w:rsidP="003D0AEE">
      <w:r>
        <w:t xml:space="preserve">It should be noted that the procedure to be followed to obtain </w:t>
      </w:r>
      <w:r w:rsidRPr="00F1590E">
        <w:t>regional or global aggregat</w:t>
      </w:r>
      <w:r>
        <w:t>es</w:t>
      </w:r>
      <w:r w:rsidRPr="00F1590E">
        <w:t xml:space="preserve"> </w:t>
      </w:r>
      <w:r>
        <w:t>for</w:t>
      </w:r>
      <w:r w:rsidRPr="00F1590E">
        <w:t xml:space="preserve"> </w:t>
      </w:r>
      <w:r>
        <w:t>SDG indicator 2.5.2 is to compute a weighted average of the country proportions of the breeds “At risk” and “Not at risk” (which exclude from the denominator the breeds with “unknown” status), with weights given by the number of local breeds within countries.</w:t>
      </w:r>
    </w:p>
    <w:p w:rsidR="003D0AEE" w:rsidRDefault="003D0AEE" w:rsidP="003D0AEE">
      <w:pPr>
        <w:rPr>
          <w:rFonts w:eastAsiaTheme="minorEastAsia"/>
        </w:rPr>
      </w:pPr>
      <w:r>
        <w:t xml:space="preserve">Formally, if </w:t>
      </w:r>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jR</m:t>
            </m:r>
          </m:sub>
        </m:sSub>
      </m:oMath>
      <w:r w:rsidRPr="003D0AEE">
        <w:rPr>
          <w:rFonts w:eastAsiaTheme="minorEastAsia"/>
        </w:rPr>
        <w:t xml:space="preserve"> is the estimated proportion of “at-risk” local breeds in country </w:t>
      </w:r>
      <w:r w:rsidRPr="003D0AEE">
        <w:rPr>
          <w:rFonts w:eastAsiaTheme="minorEastAsia"/>
          <w:i/>
        </w:rPr>
        <w:t>j</w:t>
      </w:r>
      <w:r w:rsidRPr="003D0AEE">
        <w:rPr>
          <w:rFonts w:eastAsiaTheme="minorEastAsia"/>
        </w:rPr>
        <w:t xml:space="preserve"> then </w:t>
      </w:r>
      <w:r w:rsidR="0018270C">
        <w:rPr>
          <w:rFonts w:eastAsiaTheme="minorEastAsia"/>
        </w:rPr>
        <w:t>the aggregation formula is:</w:t>
      </w:r>
    </w:p>
    <w:p w:rsidR="003D0AEE" w:rsidRPr="003D0AEE" w:rsidRDefault="00C51892" w:rsidP="003D0AEE">
      <w:pPr>
        <w:rPr>
          <w:rFonts w:eastAsiaTheme="minorEastAsia"/>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jR</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j</m:t>
                      </m:r>
                    </m:sub>
                  </m:sSub>
                </m:e>
              </m:nary>
            </m:num>
            <m:den>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w</m:t>
                      </m:r>
                    </m:e>
                    <m:sub>
                      <m:r>
                        <w:rPr>
                          <w:rFonts w:ascii="Cambria Math" w:hAnsi="Cambria Math"/>
                        </w:rPr>
                        <m:t>j</m:t>
                      </m:r>
                    </m:sub>
                  </m:sSub>
                </m:e>
              </m:nary>
            </m:den>
          </m:f>
        </m:oMath>
      </m:oMathPara>
    </w:p>
    <w:p w:rsidR="003D0AEE" w:rsidRPr="0018270C" w:rsidRDefault="003D0AEE" w:rsidP="003D0AEE">
      <w:r>
        <w:t xml:space="preserve">Where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j</m:t>
            </m:r>
          </m:sub>
        </m:sSub>
      </m:oMath>
      <w:proofErr w:type="gramStart"/>
      <w:r>
        <w:rPr>
          <w:rFonts w:eastAsiaTheme="minorEastAsia"/>
        </w:rPr>
        <w:t xml:space="preserve"> is the </w:t>
      </w:r>
      <w:r w:rsidR="00BC0359">
        <w:rPr>
          <w:rFonts w:eastAsiaTheme="minorEastAsia"/>
        </w:rPr>
        <w:t xml:space="preserve">weight for country </w:t>
      </w:r>
      <w:r w:rsidR="00BC0359" w:rsidRPr="00BC0359">
        <w:rPr>
          <w:rFonts w:eastAsiaTheme="minorEastAsia"/>
          <w:i/>
        </w:rPr>
        <w:t>j</w:t>
      </w:r>
      <w:r w:rsidR="0018270C">
        <w:rPr>
          <w:rFonts w:eastAsiaTheme="minorEastAsia"/>
        </w:rPr>
        <w:t xml:space="preserve"> and </w:t>
      </w:r>
      <w:r w:rsidR="0018270C">
        <w:rPr>
          <w:rFonts w:eastAsiaTheme="minorEastAsia"/>
          <w:i/>
        </w:rPr>
        <w:t>J</w:t>
      </w:r>
      <w:proofErr w:type="gramEnd"/>
      <w:r w:rsidR="0018270C">
        <w:rPr>
          <w:rFonts w:eastAsiaTheme="minorEastAsia"/>
        </w:rPr>
        <w:t xml:space="preserve"> is the number of reporting countries contributing to the regional </w:t>
      </w:r>
      <w:r w:rsidR="00731DB5">
        <w:rPr>
          <w:rFonts w:eastAsiaTheme="minorEastAsia"/>
        </w:rPr>
        <w:t>aggregate</w:t>
      </w:r>
      <w:r w:rsidR="0018270C">
        <w:rPr>
          <w:rFonts w:eastAsiaTheme="minorEastAsia"/>
        </w:rPr>
        <w:t>.</w:t>
      </w:r>
    </w:p>
    <w:p w:rsidR="00E6322C" w:rsidRDefault="003D0AEE">
      <w:r>
        <w:t xml:space="preserve">It is worth noting that </w:t>
      </w:r>
      <w:r w:rsidR="0018270C">
        <w:t xml:space="preserve">there are two alternative </w:t>
      </w:r>
      <w:r>
        <w:t>weighting system</w:t>
      </w:r>
      <w:r w:rsidR="0018270C">
        <w:t>s</w:t>
      </w:r>
      <w:r w:rsidR="00BC0359">
        <w:t>:</w:t>
      </w:r>
    </w:p>
    <w:p w:rsidR="00BC0359" w:rsidRDefault="00BC0359" w:rsidP="00D019A5">
      <w:pPr>
        <w:pStyle w:val="ListParagraph"/>
        <w:numPr>
          <w:ilvl w:val="0"/>
          <w:numId w:val="5"/>
        </w:numPr>
        <w:ind w:left="1080" w:hanging="360"/>
        <w:rPr>
          <w:rFonts w:eastAsiaTheme="minorEastAsia"/>
        </w:rPr>
      </w:pPr>
      <w:r>
        <w:t xml:space="preserve">The weight is the </w:t>
      </w:r>
      <w:r w:rsidRPr="0018270C">
        <w:rPr>
          <w:u w:val="single"/>
        </w:rPr>
        <w:t>overall</w:t>
      </w:r>
      <w:r>
        <w:t xml:space="preserve"> number of local breeds in country </w:t>
      </w:r>
      <w:r w:rsidRPr="00BC0359">
        <w:rPr>
          <w:i/>
        </w:rPr>
        <w:t>j</w:t>
      </w:r>
      <w:r>
        <w:t xml:space="preserve"> (including those with unknown risk status), i.e.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j</m:t>
            </m:r>
          </m:sub>
        </m:sSub>
        <m:r>
          <w:rPr>
            <w:rFonts w:ascii="Cambria Math" w:eastAsiaTheme="minorEastAsia" w:hAnsi="Cambria Math"/>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j</m:t>
            </m:r>
          </m:sub>
        </m:sSub>
      </m:oMath>
    </w:p>
    <w:p w:rsidR="00BC0359" w:rsidRDefault="00BC0359" w:rsidP="00BC0359">
      <w:pPr>
        <w:pStyle w:val="ListParagraph"/>
        <w:ind w:left="1080"/>
        <w:rPr>
          <w:rFonts w:eastAsiaTheme="minorEastAsia"/>
        </w:rPr>
      </w:pPr>
      <w:r>
        <w:rPr>
          <w:rFonts w:eastAsiaTheme="minorEastAsia"/>
        </w:rPr>
        <w:t>The aggregation formula becomes:</w:t>
      </w:r>
    </w:p>
    <w:p w:rsidR="00BC0359" w:rsidRDefault="00BC0359" w:rsidP="00BC0359">
      <w:pPr>
        <w:pStyle w:val="ListParagraph"/>
        <w:ind w:left="1080"/>
        <w:rPr>
          <w:rFonts w:eastAsiaTheme="minorEastAsia"/>
        </w:rPr>
      </w:pPr>
    </w:p>
    <w:p w:rsidR="00BC0359" w:rsidRPr="00BC0359" w:rsidRDefault="00C51892" w:rsidP="00BC0359">
      <w:pPr>
        <w:pStyle w:val="ListParagraph"/>
        <w:ind w:left="1080"/>
        <w:rPr>
          <w:rFonts w:eastAsiaTheme="minorEastAsia"/>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jR</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j</m:t>
                      </m:r>
                    </m:sub>
                  </m:sSub>
                </m:e>
              </m:nary>
            </m:num>
            <m:den>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w</m:t>
                      </m:r>
                    </m:e>
                    <m:sub>
                      <m:r>
                        <w:rPr>
                          <w:rFonts w:ascii="Cambria Math" w:hAnsi="Cambria Math"/>
                        </w:rPr>
                        <m:t>j</m:t>
                      </m:r>
                    </m:sub>
                  </m:sSub>
                </m:e>
              </m:nary>
            </m:den>
          </m:f>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jR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e>
              </m:nary>
            </m:num>
            <m:den>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j</m:t>
                      </m:r>
                    </m:sub>
                  </m:sSub>
                </m:e>
              </m:nary>
            </m:den>
          </m:f>
        </m:oMath>
      </m:oMathPara>
    </w:p>
    <w:p w:rsidR="00BC0359" w:rsidRDefault="00BC0359" w:rsidP="00BC0359">
      <w:pPr>
        <w:pStyle w:val="ListParagraph"/>
        <w:ind w:left="1080"/>
        <w:rPr>
          <w:rFonts w:eastAsiaTheme="minorEastAsia"/>
        </w:rPr>
      </w:pPr>
    </w:p>
    <w:p w:rsidR="00D019A5" w:rsidRPr="00BC0359" w:rsidRDefault="00D019A5" w:rsidP="00BC0359">
      <w:pPr>
        <w:pStyle w:val="ListParagraph"/>
        <w:ind w:left="1080"/>
        <w:rPr>
          <w:rFonts w:eastAsiaTheme="minorEastAsia"/>
        </w:rPr>
      </w:pPr>
    </w:p>
    <w:p w:rsidR="00BC0359" w:rsidRPr="00BC0359" w:rsidRDefault="00BC0359" w:rsidP="00D019A5">
      <w:pPr>
        <w:pStyle w:val="ListParagraph"/>
        <w:numPr>
          <w:ilvl w:val="0"/>
          <w:numId w:val="5"/>
        </w:numPr>
        <w:ind w:left="1080" w:hanging="360"/>
        <w:rPr>
          <w:rFonts w:eastAsiaTheme="minorEastAsia"/>
        </w:rPr>
      </w:pPr>
      <w:r>
        <w:t xml:space="preserve">The weight is the number of local breed in country </w:t>
      </w:r>
      <w:r w:rsidRPr="00BC0359">
        <w:rPr>
          <w:i/>
        </w:rPr>
        <w:t>j</w:t>
      </w:r>
      <w:r>
        <w:t xml:space="preserve"> with </w:t>
      </w:r>
      <w:r w:rsidRPr="0018270C">
        <w:rPr>
          <w:u w:val="single"/>
        </w:rPr>
        <w:t>known</w:t>
      </w:r>
      <w:r>
        <w:t xml:space="preserve"> risk status (excluding those with unknown risk status), i.e.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j</m:t>
            </m:r>
          </m:sub>
        </m:sSub>
        <m:r>
          <w:rPr>
            <w:rFonts w:ascii="Cambria Math" w:eastAsiaTheme="minorEastAsia" w:hAnsi="Cambria Math"/>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jR</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jNR</m:t>
            </m:r>
          </m:sub>
        </m:sSub>
        <m:r>
          <w:rPr>
            <w:rFonts w:ascii="Cambria Math" w:hAnsi="Cambria Math" w:cs="Times New Roman"/>
          </w:rPr>
          <m:t>.</m:t>
        </m:r>
      </m:oMath>
    </w:p>
    <w:p w:rsidR="00BC0359" w:rsidRPr="00D019A5" w:rsidRDefault="00BC0359" w:rsidP="00D019A5">
      <w:pPr>
        <w:ind w:left="1080"/>
        <w:rPr>
          <w:rFonts w:eastAsiaTheme="minorEastAsia"/>
        </w:rPr>
      </w:pPr>
      <w:r w:rsidRPr="00D019A5">
        <w:rPr>
          <w:rFonts w:eastAsiaTheme="minorEastAsia"/>
        </w:rPr>
        <w:t xml:space="preserve">In this case, the aggregation formula simplifies </w:t>
      </w:r>
      <w:proofErr w:type="gramStart"/>
      <w:r w:rsidRPr="00D019A5">
        <w:rPr>
          <w:rFonts w:eastAsiaTheme="minorEastAsia"/>
        </w:rPr>
        <w:t>to</w:t>
      </w:r>
      <w:proofErr w:type="gramEnd"/>
      <w:r w:rsidRPr="00D019A5">
        <w:rPr>
          <w:rFonts w:eastAsiaTheme="minorEastAsia"/>
        </w:rPr>
        <w:t>:</w:t>
      </w:r>
    </w:p>
    <w:p w:rsidR="00BC0359" w:rsidRDefault="00BC0359" w:rsidP="00D019A5">
      <w:pPr>
        <w:pStyle w:val="ListParagraph"/>
        <w:ind w:left="1080"/>
        <w:rPr>
          <w:rFonts w:eastAsiaTheme="minorEastAsia"/>
        </w:rPr>
      </w:pPr>
    </w:p>
    <w:p w:rsidR="00BC0359" w:rsidRPr="00BC0359" w:rsidRDefault="00C51892" w:rsidP="00D019A5">
      <w:pPr>
        <w:pStyle w:val="ListParagraph"/>
        <w:ind w:left="1080"/>
        <w:rPr>
          <w:rFonts w:eastAsiaTheme="minorEastAsia"/>
        </w:rPr>
      </w:pPr>
      <m:oMathPara>
        <m:oMath>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jR</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j</m:t>
                      </m:r>
                    </m:sub>
                  </m:sSub>
                </m:e>
              </m:nary>
            </m:num>
            <m:den>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w</m:t>
                      </m:r>
                    </m:e>
                    <m:sub>
                      <m:r>
                        <w:rPr>
                          <w:rFonts w:ascii="Cambria Math" w:hAnsi="Cambria Math"/>
                        </w:rPr>
                        <m:t>j</m:t>
                      </m:r>
                    </m:sub>
                  </m:sSub>
                </m:e>
              </m:nary>
            </m:den>
          </m:f>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acc>
                        <m:accPr>
                          <m:ctrlPr>
                            <w:rPr>
                              <w:rFonts w:ascii="Cambria Math" w:hAnsi="Cambria Math"/>
                              <w:i/>
                            </w:rPr>
                          </m:ctrlPr>
                        </m:accPr>
                        <m:e>
                          <m:r>
                            <w:rPr>
                              <w:rFonts w:ascii="Cambria Math" w:hAnsi="Cambria Math"/>
                            </w:rPr>
                            <m:t>p</m:t>
                          </m:r>
                        </m:e>
                      </m:acc>
                    </m:e>
                    <m:sub>
                      <m:r>
                        <w:rPr>
                          <w:rFonts w:ascii="Cambria Math" w:hAnsi="Cambria Math"/>
                        </w:rPr>
                        <m:t>jR</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jR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jNR</m:t>
                          </m:r>
                        </m:sub>
                      </m:sSub>
                    </m:e>
                  </m:d>
                </m:e>
              </m:nary>
            </m:num>
            <m:den>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jR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jNR</m:t>
                          </m:r>
                        </m:sub>
                      </m:sSub>
                    </m:e>
                  </m:d>
                </m:e>
              </m:nary>
            </m:den>
          </m:f>
          <m:r>
            <w:rPr>
              <w:rFonts w:ascii="Cambria Math" w:hAnsi="Cambria Math"/>
            </w:rPr>
            <m:t>=</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jR</m:t>
                      </m:r>
                    </m:sub>
                  </m:sSub>
                </m:e>
              </m:nary>
            </m:num>
            <m:den>
              <m:nary>
                <m:naryPr>
                  <m:chr m:val="∑"/>
                  <m:limLoc m:val="subSup"/>
                  <m:ctrlPr>
                    <w:rPr>
                      <w:rFonts w:ascii="Cambria Math" w:hAnsi="Cambria Math"/>
                      <w:i/>
                    </w:rPr>
                  </m:ctrlPr>
                </m:naryPr>
                <m:sub>
                  <m:r>
                    <w:rPr>
                      <w:rFonts w:ascii="Cambria Math" w:hAnsi="Cambria Math"/>
                    </w:rPr>
                    <m:t>j=1</m:t>
                  </m:r>
                </m:sub>
                <m:sup>
                  <m:r>
                    <w:rPr>
                      <w:rFonts w:ascii="Cambria Math" w:hAnsi="Cambria Math"/>
                    </w:rPr>
                    <m:t>J</m:t>
                  </m:r>
                </m:sup>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jR</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jNR</m:t>
                          </m:r>
                        </m:sub>
                      </m:sSub>
                    </m:e>
                  </m:d>
                </m:e>
              </m:nary>
            </m:den>
          </m:f>
        </m:oMath>
      </m:oMathPara>
    </w:p>
    <w:p w:rsidR="00BC0359" w:rsidRDefault="00BC0359" w:rsidP="00D019A5">
      <w:pPr>
        <w:pStyle w:val="ListParagraph"/>
        <w:ind w:left="1080"/>
        <w:rPr>
          <w:rFonts w:eastAsiaTheme="minorEastAsia"/>
        </w:rPr>
      </w:pPr>
    </w:p>
    <w:p w:rsidR="00BC0359" w:rsidRPr="00BC0359" w:rsidRDefault="00BC0359" w:rsidP="00D019A5">
      <w:pPr>
        <w:pStyle w:val="ListParagraph"/>
        <w:ind w:left="1080"/>
        <w:rPr>
          <w:rFonts w:eastAsiaTheme="minorEastAsia"/>
        </w:rPr>
      </w:pPr>
      <w:proofErr w:type="gramStart"/>
      <w:r>
        <w:rPr>
          <w:rFonts w:eastAsiaTheme="minorEastAsia"/>
        </w:rPr>
        <w:t>i.e</w:t>
      </w:r>
      <w:proofErr w:type="gramEnd"/>
      <w:r>
        <w:rPr>
          <w:rFonts w:eastAsiaTheme="minorEastAsia"/>
        </w:rPr>
        <w:t xml:space="preserve">. it becomes the ratio between the sums of breeds with risk status in the countries and the sum of </w:t>
      </w:r>
      <w:r w:rsidR="00D019A5">
        <w:rPr>
          <w:rFonts w:eastAsiaTheme="minorEastAsia"/>
        </w:rPr>
        <w:t>breeds with known status (excluding those with unknown status)</w:t>
      </w:r>
    </w:p>
    <w:p w:rsidR="00BC0359" w:rsidRDefault="00BC0359" w:rsidP="00BC0359"/>
    <w:p w:rsidR="00D019A5" w:rsidRDefault="00D019A5" w:rsidP="00BC0359">
      <w:r>
        <w:lastRenderedPageBreak/>
        <w:t>The aggregation (</w:t>
      </w:r>
      <w:proofErr w:type="spellStart"/>
      <w:r>
        <w:t>i</w:t>
      </w:r>
      <w:proofErr w:type="spellEnd"/>
      <w:r>
        <w:t xml:space="preserve">) </w:t>
      </w:r>
      <w:r w:rsidR="00E62647">
        <w:t>has the advantage of giving</w:t>
      </w:r>
      <w:r>
        <w:t xml:space="preserve"> more importance to countries with a high number of local breeds</w:t>
      </w:r>
      <w:r w:rsidR="0018270C">
        <w:t xml:space="preserve">. The </w:t>
      </w:r>
      <w:r w:rsidR="00E62647">
        <w:t>only</w:t>
      </w:r>
      <w:r>
        <w:t xml:space="preserve"> drawback</w:t>
      </w:r>
      <w:r w:rsidR="0018270C">
        <w:t xml:space="preserve"> is that</w:t>
      </w:r>
      <w:r>
        <w:t xml:space="preserve"> </w:t>
      </w:r>
      <w:r w:rsidR="0018270C">
        <w:t>poor estimates of</w:t>
      </w:r>
      <w:r>
        <w:t xml:space="preserve"> at-risk status </w:t>
      </w:r>
      <w:r w:rsidR="0018270C">
        <w:t>(because of high fraction of breeds has unknown status) will receive a high weight in aggregation if that country has a high number of overall local breeds id compared to other countries</w:t>
      </w:r>
      <w:r>
        <w:t>.</w:t>
      </w:r>
      <w:r w:rsidR="00E62647">
        <w:t xml:space="preserve"> By contrast, although </w:t>
      </w:r>
      <w:r>
        <w:t xml:space="preserve">option (ii) is slightly simpler from </w:t>
      </w:r>
      <w:r w:rsidR="00E62647">
        <w:t xml:space="preserve">a </w:t>
      </w:r>
      <w:r>
        <w:t xml:space="preserve">computational </w:t>
      </w:r>
      <w:r w:rsidR="00E62647">
        <w:t>viewpoint, it will give</w:t>
      </w:r>
      <w:r>
        <w:t xml:space="preserve"> higher importance to countries having higher number of breeds with known risk status.</w:t>
      </w:r>
      <w:bookmarkStart w:id="0" w:name="_GoBack"/>
      <w:bookmarkEnd w:id="0"/>
    </w:p>
    <w:sectPr w:rsidR="00D019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2FDE"/>
    <w:multiLevelType w:val="hybridMultilevel"/>
    <w:tmpl w:val="2990B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C1588F"/>
    <w:multiLevelType w:val="hybridMultilevel"/>
    <w:tmpl w:val="730AC0B2"/>
    <w:lvl w:ilvl="0" w:tplc="FF8AE060">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F33B38"/>
    <w:multiLevelType w:val="hybridMultilevel"/>
    <w:tmpl w:val="02223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C929AE"/>
    <w:multiLevelType w:val="hybridMultilevel"/>
    <w:tmpl w:val="21343DBA"/>
    <w:lvl w:ilvl="0" w:tplc="32D22C8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C7E66B6"/>
    <w:multiLevelType w:val="hybridMultilevel"/>
    <w:tmpl w:val="24CE3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AEE"/>
    <w:rsid w:val="0018270C"/>
    <w:rsid w:val="003D0AEE"/>
    <w:rsid w:val="00597391"/>
    <w:rsid w:val="00731DB5"/>
    <w:rsid w:val="007C2780"/>
    <w:rsid w:val="00B60B35"/>
    <w:rsid w:val="00BC0359"/>
    <w:rsid w:val="00BF235B"/>
    <w:rsid w:val="00C51892"/>
    <w:rsid w:val="00C55FF9"/>
    <w:rsid w:val="00D01712"/>
    <w:rsid w:val="00D019A5"/>
    <w:rsid w:val="00E62647"/>
    <w:rsid w:val="00E63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E807"/>
  <w15:chartTrackingRefBased/>
  <w15:docId w15:val="{28714ECF-0133-45CA-8CD6-433E1C0F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0A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0AEE"/>
    <w:pPr>
      <w:ind w:left="720"/>
      <w:contextualSpacing/>
    </w:pPr>
  </w:style>
  <w:style w:type="table" w:styleId="TableGrid">
    <w:name w:val="Table Grid"/>
    <w:basedOn w:val="TableNormal"/>
    <w:uiPriority w:val="39"/>
    <w:rsid w:val="003D0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0AEE"/>
    <w:rPr>
      <w:color w:val="808080"/>
    </w:rPr>
  </w:style>
  <w:style w:type="paragraph" w:styleId="BalloonText">
    <w:name w:val="Balloon Text"/>
    <w:basedOn w:val="Normal"/>
    <w:link w:val="BalloonTextChar"/>
    <w:uiPriority w:val="99"/>
    <w:semiHidden/>
    <w:unhideWhenUsed/>
    <w:rsid w:val="00E626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26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657</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Dorazio, Marcello (ESS)</dc:creator>
  <cp:keywords/>
  <dc:description/>
  <cp:lastModifiedBy>Navarro, DorianKalamvrezos (OCS)</cp:lastModifiedBy>
  <cp:revision>3</cp:revision>
  <cp:lastPrinted>2019-10-11T09:24:00Z</cp:lastPrinted>
  <dcterms:created xsi:type="dcterms:W3CDTF">2019-01-07T14:04:00Z</dcterms:created>
  <dcterms:modified xsi:type="dcterms:W3CDTF">2019-10-11T09:51:00Z</dcterms:modified>
</cp:coreProperties>
</file>